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29" w:rsidRDefault="002C5829" w:rsidP="002C5829">
      <w:pPr>
        <w:jc w:val="center"/>
        <w:rPr>
          <w:b/>
        </w:rPr>
      </w:pPr>
      <w:r w:rsidRPr="00B347AF">
        <w:rPr>
          <w:b/>
        </w:rPr>
        <w:t>International Politics and International Policy</w:t>
      </w:r>
    </w:p>
    <w:p w:rsidR="002C5829" w:rsidRPr="00B347AF" w:rsidRDefault="0049306E" w:rsidP="002C5829">
      <w:pPr>
        <w:jc w:val="center"/>
        <w:rPr>
          <w:b/>
        </w:rPr>
      </w:pPr>
      <w:r>
        <w:rPr>
          <w:b/>
        </w:rPr>
        <w:t>Spring</w:t>
      </w:r>
      <w:r w:rsidR="002C5829">
        <w:rPr>
          <w:b/>
        </w:rPr>
        <w:t xml:space="preserve"> 2013</w:t>
      </w:r>
    </w:p>
    <w:p w:rsidR="002C5829" w:rsidRDefault="002C5829" w:rsidP="002C5829">
      <w:pPr>
        <w:spacing w:after="0" w:line="240" w:lineRule="auto"/>
        <w:jc w:val="center"/>
        <w:rPr>
          <w:b/>
        </w:rPr>
      </w:pPr>
      <w:r w:rsidRPr="004E116B">
        <w:rPr>
          <w:b/>
        </w:rPr>
        <w:t>Professor Kathleen Bruhn</w:t>
      </w:r>
    </w:p>
    <w:p w:rsidR="002C5829" w:rsidRDefault="002C5829" w:rsidP="002C5829">
      <w:pPr>
        <w:spacing w:after="0" w:line="240" w:lineRule="auto"/>
        <w:jc w:val="center"/>
        <w:rPr>
          <w:b/>
        </w:rPr>
      </w:pPr>
      <w:r>
        <w:rPr>
          <w:b/>
        </w:rPr>
        <w:t>Office # 326</w:t>
      </w:r>
      <w:r w:rsidR="0049306E">
        <w:rPr>
          <w:b/>
        </w:rPr>
        <w:t xml:space="preserve">: Office hours Wednesday 4:30-6, </w:t>
      </w:r>
      <w:r w:rsidR="000E74D0">
        <w:rPr>
          <w:b/>
        </w:rPr>
        <w:t>or by appointment</w:t>
      </w:r>
    </w:p>
    <w:p w:rsidR="002C5829" w:rsidRDefault="002C5829" w:rsidP="002C5829">
      <w:pPr>
        <w:spacing w:after="0" w:line="240" w:lineRule="auto"/>
        <w:jc w:val="center"/>
        <w:rPr>
          <w:b/>
        </w:rPr>
      </w:pPr>
      <w:r>
        <w:rPr>
          <w:b/>
        </w:rPr>
        <w:t>Email: bruhn@polsci.ucsb.edu</w:t>
      </w:r>
    </w:p>
    <w:p w:rsidR="002C5829" w:rsidRDefault="002C5829" w:rsidP="000B1D5E">
      <w:pPr>
        <w:rPr>
          <w:b/>
        </w:rPr>
      </w:pPr>
    </w:p>
    <w:p w:rsidR="000B1D5E" w:rsidRPr="00B347AF" w:rsidRDefault="000B1D5E" w:rsidP="000B1D5E">
      <w:pPr>
        <w:rPr>
          <w:b/>
        </w:rPr>
      </w:pPr>
      <w:r w:rsidRPr="00B347AF">
        <w:rPr>
          <w:b/>
        </w:rPr>
        <w:t>NOTE: THIS COURSE IS OPEN TO BOTH QUARTER &amp; SEMESTER STUDENTS</w:t>
      </w:r>
    </w:p>
    <w:p w:rsidR="009D0CC8" w:rsidRPr="009D0CC8" w:rsidRDefault="009D0CC8" w:rsidP="000B1D5E">
      <w:pPr>
        <w:rPr>
          <w:rFonts w:cstheme="minorHAnsi"/>
          <w:b/>
        </w:rPr>
      </w:pPr>
      <w:r>
        <w:rPr>
          <w:rFonts w:cstheme="minorHAnsi"/>
          <w:b/>
        </w:rPr>
        <w:t>Course objectives:</w:t>
      </w:r>
    </w:p>
    <w:p w:rsidR="00A813BD" w:rsidRDefault="00FF747B" w:rsidP="000B1D5E">
      <w:pPr>
        <w:rPr>
          <w:rFonts w:cstheme="minorHAnsi"/>
        </w:rPr>
      </w:pPr>
      <w:r>
        <w:rPr>
          <w:rFonts w:cstheme="minorHAnsi"/>
        </w:rPr>
        <w:t>This</w:t>
      </w:r>
      <w:r w:rsidR="000B1D5E">
        <w:rPr>
          <w:rFonts w:cstheme="minorHAnsi"/>
        </w:rPr>
        <w:t xml:space="preserve"> course</w:t>
      </w:r>
      <w:r w:rsidR="000B1D5E" w:rsidRPr="00C84AD9">
        <w:rPr>
          <w:rFonts w:cstheme="minorHAnsi"/>
        </w:rPr>
        <w:t xml:space="preserve"> </w:t>
      </w:r>
      <w:r w:rsidR="0049306E">
        <w:rPr>
          <w:rFonts w:cstheme="minorHAnsi"/>
        </w:rPr>
        <w:t>analyzes four topics in international policy in order to gain an appreciation of the</w:t>
      </w:r>
      <w:r w:rsidR="008A5C21">
        <w:rPr>
          <w:rFonts w:cstheme="minorHAnsi"/>
        </w:rPr>
        <w:t xml:space="preserve"> complex policy community—including </w:t>
      </w:r>
      <w:r w:rsidR="000B1D5E">
        <w:rPr>
          <w:rFonts w:cstheme="minorHAnsi"/>
        </w:rPr>
        <w:t>governmental, non-governm</w:t>
      </w:r>
      <w:r w:rsidR="008A5C21">
        <w:rPr>
          <w:rFonts w:cstheme="minorHAnsi"/>
        </w:rPr>
        <w:t>ental, and inter</w:t>
      </w:r>
      <w:r w:rsidR="00727322">
        <w:rPr>
          <w:rFonts w:cstheme="minorHAnsi"/>
        </w:rPr>
        <w:t>governmental</w:t>
      </w:r>
      <w:r w:rsidR="008A5C21">
        <w:rPr>
          <w:rFonts w:cstheme="minorHAnsi"/>
        </w:rPr>
        <w:t xml:space="preserve"> actors—that engages in</w:t>
      </w:r>
      <w:r w:rsidR="000B1D5E">
        <w:rPr>
          <w:rFonts w:cstheme="minorHAnsi"/>
        </w:rPr>
        <w:t xml:space="preserve"> forging international policy</w:t>
      </w:r>
      <w:r w:rsidR="0049306E">
        <w:rPr>
          <w:rFonts w:cstheme="minorHAnsi"/>
        </w:rPr>
        <w:t xml:space="preserve">. </w:t>
      </w:r>
      <w:r w:rsidR="002B0A36">
        <w:rPr>
          <w:rFonts w:cstheme="minorHAnsi"/>
        </w:rPr>
        <w:t xml:space="preserve">In order to take advantage of our location in Washington, </w:t>
      </w:r>
      <w:r w:rsidR="00727322">
        <w:rPr>
          <w:rFonts w:cstheme="minorHAnsi"/>
        </w:rPr>
        <w:t>I</w:t>
      </w:r>
      <w:r w:rsidR="002B0A36">
        <w:rPr>
          <w:rFonts w:cstheme="minorHAnsi"/>
        </w:rPr>
        <w:t xml:space="preserve"> will bring in practitioners from different policy communities to speak to us about their </w:t>
      </w:r>
      <w:r w:rsidR="00BC379F">
        <w:rPr>
          <w:rFonts w:cstheme="minorHAnsi"/>
        </w:rPr>
        <w:t>work</w:t>
      </w:r>
      <w:r w:rsidR="002B0A36">
        <w:rPr>
          <w:rFonts w:cstheme="minorHAnsi"/>
        </w:rPr>
        <w:t xml:space="preserve">. </w:t>
      </w:r>
      <w:r w:rsidR="009D0CC8">
        <w:rPr>
          <w:rFonts w:cstheme="minorHAnsi"/>
        </w:rPr>
        <w:t xml:space="preserve"> </w:t>
      </w:r>
      <w:r w:rsidR="00A813BD">
        <w:rPr>
          <w:rFonts w:cstheme="minorHAnsi"/>
        </w:rPr>
        <w:t xml:space="preserve">In addition, </w:t>
      </w:r>
      <w:r w:rsidR="001E7BC5">
        <w:rPr>
          <w:rFonts w:cstheme="minorHAnsi"/>
        </w:rPr>
        <w:t>one of your briefing memos will summarize the substance of a</w:t>
      </w:r>
      <w:r w:rsidR="00A813BD">
        <w:rPr>
          <w:rFonts w:cstheme="minorHAnsi"/>
        </w:rPr>
        <w:t xml:space="preserve"> </w:t>
      </w:r>
      <w:r w:rsidR="00A3211D">
        <w:rPr>
          <w:rFonts w:cstheme="minorHAnsi"/>
        </w:rPr>
        <w:t>House or Senate c</w:t>
      </w:r>
      <w:r w:rsidR="001E7BC5">
        <w:rPr>
          <w:rFonts w:cstheme="minorHAnsi"/>
        </w:rPr>
        <w:t>ommittee meeting</w:t>
      </w:r>
      <w:r w:rsidR="00A813BD">
        <w:rPr>
          <w:rFonts w:cstheme="minorHAnsi"/>
        </w:rPr>
        <w:t xml:space="preserve"> on </w:t>
      </w:r>
      <w:r w:rsidR="001E7BC5">
        <w:rPr>
          <w:rFonts w:cstheme="minorHAnsi"/>
        </w:rPr>
        <w:t>a relevant international issue of your choice</w:t>
      </w:r>
      <w:r w:rsidR="00A813BD">
        <w:rPr>
          <w:rFonts w:cstheme="minorHAnsi"/>
        </w:rPr>
        <w:t>.</w:t>
      </w:r>
    </w:p>
    <w:p w:rsidR="009D0CC8" w:rsidRDefault="009D0CC8" w:rsidP="009D0CC8">
      <w:pPr>
        <w:rPr>
          <w:bCs/>
          <w:spacing w:val="-3"/>
        </w:rPr>
      </w:pPr>
      <w:r w:rsidRPr="009D0CC8">
        <w:rPr>
          <w:b/>
          <w:bCs/>
          <w:spacing w:val="-3"/>
        </w:rPr>
        <w:t>Requirements and Evaluation</w:t>
      </w:r>
    </w:p>
    <w:p w:rsidR="009D0CC8" w:rsidRDefault="009D0CC8" w:rsidP="009D0CC8">
      <w:pPr>
        <w:rPr>
          <w:rFonts w:cstheme="minorHAnsi"/>
        </w:rPr>
      </w:pPr>
      <w:r>
        <w:rPr>
          <w:rFonts w:cstheme="minorHAnsi"/>
        </w:rPr>
        <w:t xml:space="preserve">Course assignments are designed to provide flexibility for students to integrate their internship with the research component of the UCDC program. This is NOT a lecture course, although I will need to give background from time to time. Rather, class discussions will be the focus of each week’s meeting. </w:t>
      </w:r>
      <w:r w:rsidR="0049306E">
        <w:rPr>
          <w:rFonts w:cstheme="minorHAnsi"/>
        </w:rPr>
        <w:t>I expect</w:t>
      </w:r>
      <w:r>
        <w:rPr>
          <w:rFonts w:cstheme="minorHAnsi"/>
        </w:rPr>
        <w:t xml:space="preserve"> each of you to prepare by doing the readings prior to class</w:t>
      </w:r>
      <w:r w:rsidR="0049306E">
        <w:rPr>
          <w:rFonts w:cstheme="minorHAnsi"/>
        </w:rPr>
        <w:t>. R</w:t>
      </w:r>
      <w:r>
        <w:rPr>
          <w:rFonts w:cstheme="minorHAnsi"/>
        </w:rPr>
        <w:t>eadings have been limited in order to make this possible</w:t>
      </w:r>
      <w:r w:rsidR="0049306E">
        <w:rPr>
          <w:rFonts w:cstheme="minorHAnsi"/>
        </w:rPr>
        <w:t xml:space="preserve"> and extra credit pop quizzes will be given to test your reading comprehension</w:t>
      </w:r>
      <w:r>
        <w:rPr>
          <w:rFonts w:cstheme="minorHAnsi"/>
        </w:rPr>
        <w:t xml:space="preserve">. </w:t>
      </w:r>
      <w:r w:rsidR="0049306E">
        <w:rPr>
          <w:rFonts w:cstheme="minorHAnsi"/>
        </w:rPr>
        <w:t xml:space="preserve">In addition, </w:t>
      </w:r>
      <w:r>
        <w:rPr>
          <w:rFonts w:cstheme="minorHAnsi"/>
        </w:rPr>
        <w:t>20% of your final grade will reflect your participation in discussions.</w:t>
      </w:r>
    </w:p>
    <w:p w:rsidR="008051FB" w:rsidRDefault="008051FB" w:rsidP="008051FB">
      <w:pPr>
        <w:spacing w:after="0" w:line="240" w:lineRule="auto"/>
        <w:rPr>
          <w:rFonts w:cstheme="minorHAnsi"/>
        </w:rPr>
      </w:pPr>
      <w:r>
        <w:rPr>
          <w:rFonts w:cstheme="minorHAnsi"/>
          <w:b/>
        </w:rPr>
        <w:tab/>
      </w:r>
      <w:r>
        <w:rPr>
          <w:rFonts w:cstheme="minorHAnsi"/>
          <w:b/>
        </w:rPr>
        <w:tab/>
      </w:r>
      <w:r>
        <w:rPr>
          <w:rFonts w:cstheme="minorHAnsi"/>
        </w:rPr>
        <w:t>Participation:</w:t>
      </w:r>
      <w:r w:rsidR="00EA4999">
        <w:rPr>
          <w:rFonts w:cstheme="minorHAnsi"/>
        </w:rPr>
        <w:t xml:space="preserve"> 20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r>
      <w:r w:rsidRPr="00A14401">
        <w:rPr>
          <w:rFonts w:cstheme="minorHAnsi"/>
          <w:u w:val="single"/>
        </w:rPr>
        <w:t>One-page</w:t>
      </w:r>
      <w:r>
        <w:rPr>
          <w:rFonts w:cstheme="minorHAnsi"/>
        </w:rPr>
        <w:t xml:space="preserve"> </w:t>
      </w:r>
      <w:r w:rsidR="00326A16">
        <w:rPr>
          <w:rFonts w:cstheme="minorHAnsi"/>
        </w:rPr>
        <w:t xml:space="preserve">single-spaced </w:t>
      </w:r>
      <w:r>
        <w:rPr>
          <w:rFonts w:cstheme="minorHAnsi"/>
        </w:rPr>
        <w:t>briefing memos (</w:t>
      </w:r>
      <w:r w:rsidRPr="00727322">
        <w:rPr>
          <w:rFonts w:cstheme="minorHAnsi"/>
          <w:u w:val="single"/>
        </w:rPr>
        <w:t>three</w:t>
      </w:r>
      <w:r>
        <w:rPr>
          <w:rFonts w:cstheme="minorHAnsi"/>
        </w:rPr>
        <w:t>): 2</w:t>
      </w:r>
      <w:r w:rsidR="00EA4999">
        <w:rPr>
          <w:rFonts w:cstheme="minorHAnsi"/>
        </w:rPr>
        <w:t>0</w:t>
      </w:r>
      <w:r>
        <w:rPr>
          <w:rFonts w:cstheme="minorHAnsi"/>
        </w:rPr>
        <w:t>%</w:t>
      </w:r>
    </w:p>
    <w:p w:rsidR="008051FB" w:rsidRDefault="008051FB" w:rsidP="008051FB">
      <w:pPr>
        <w:spacing w:after="0" w:line="240" w:lineRule="auto"/>
        <w:rPr>
          <w:rFonts w:cstheme="minorHAnsi"/>
        </w:rPr>
      </w:pPr>
      <w:r>
        <w:rPr>
          <w:rFonts w:cstheme="minorHAnsi"/>
        </w:rPr>
        <w:tab/>
      </w:r>
      <w:r>
        <w:rPr>
          <w:rFonts w:cstheme="minorHAnsi"/>
        </w:rPr>
        <w:tab/>
        <w:t>Research paper: 60%</w:t>
      </w:r>
    </w:p>
    <w:p w:rsidR="008051FB" w:rsidRDefault="008051FB" w:rsidP="008051FB">
      <w:pPr>
        <w:spacing w:after="0" w:line="240" w:lineRule="auto"/>
        <w:rPr>
          <w:rFonts w:cstheme="minorHAnsi"/>
        </w:rPr>
      </w:pPr>
      <w:r>
        <w:rPr>
          <w:rFonts w:cstheme="minorHAnsi"/>
        </w:rPr>
        <w:t xml:space="preserve">    </w:t>
      </w:r>
      <w:r>
        <w:rPr>
          <w:rFonts w:cstheme="minorHAnsi"/>
        </w:rPr>
        <w:tab/>
      </w:r>
      <w:r>
        <w:rPr>
          <w:rFonts w:cstheme="minorHAnsi"/>
        </w:rPr>
        <w:tab/>
        <w:t xml:space="preserve"> </w:t>
      </w:r>
      <w:r>
        <w:rPr>
          <w:rFonts w:cstheme="minorHAnsi"/>
        </w:rPr>
        <w:tab/>
        <w:t xml:space="preserve">10% research proposal and preliminary bibliography, due </w:t>
      </w:r>
      <w:r w:rsidR="009E7C3F">
        <w:rPr>
          <w:rFonts w:cstheme="minorHAnsi"/>
        </w:rPr>
        <w:t>April 17</w:t>
      </w:r>
    </w:p>
    <w:p w:rsidR="008051FB" w:rsidRPr="008051FB" w:rsidRDefault="008051FB" w:rsidP="008051FB">
      <w:pPr>
        <w:spacing w:after="0" w:line="240" w:lineRule="auto"/>
        <w:rPr>
          <w:rFonts w:cstheme="minorHAnsi"/>
        </w:rPr>
      </w:pPr>
      <w:r>
        <w:rPr>
          <w:rFonts w:cstheme="minorHAnsi"/>
        </w:rPr>
        <w:tab/>
      </w:r>
      <w:r>
        <w:rPr>
          <w:rFonts w:cstheme="minorHAnsi"/>
        </w:rPr>
        <w:tab/>
      </w:r>
      <w:r>
        <w:rPr>
          <w:rFonts w:cstheme="minorHAnsi"/>
        </w:rPr>
        <w:tab/>
        <w:t>50% final research paper</w:t>
      </w:r>
      <w:r w:rsidR="00155A32">
        <w:rPr>
          <w:rFonts w:cstheme="minorHAnsi"/>
        </w:rPr>
        <w:t xml:space="preserve"> (15-20 pages</w:t>
      </w:r>
      <w:r w:rsidR="00500798">
        <w:rPr>
          <w:rFonts w:cstheme="minorHAnsi"/>
        </w:rPr>
        <w:t>)</w:t>
      </w:r>
      <w:r w:rsidR="000A311A">
        <w:rPr>
          <w:rFonts w:cstheme="minorHAnsi"/>
        </w:rPr>
        <w:t xml:space="preserve">, due </w:t>
      </w:r>
      <w:r w:rsidR="009E7C3F">
        <w:rPr>
          <w:rFonts w:cstheme="minorHAnsi"/>
        </w:rPr>
        <w:t>May 29</w:t>
      </w:r>
    </w:p>
    <w:p w:rsidR="00EA4999" w:rsidRDefault="00EA4999" w:rsidP="008051FB">
      <w:pPr>
        <w:spacing w:after="0"/>
        <w:rPr>
          <w:b/>
          <w:bCs/>
          <w:spacing w:val="-3"/>
        </w:rPr>
      </w:pPr>
      <w:r>
        <w:rPr>
          <w:b/>
          <w:bCs/>
          <w:spacing w:val="-3"/>
        </w:rPr>
        <w:t xml:space="preserve">Briefing memos: </w:t>
      </w:r>
    </w:p>
    <w:p w:rsidR="00EA4999" w:rsidRDefault="00EA4999" w:rsidP="00EA4999">
      <w:pPr>
        <w:pStyle w:val="ListParagraph"/>
        <w:numPr>
          <w:ilvl w:val="0"/>
          <w:numId w:val="1"/>
        </w:numPr>
        <w:spacing w:after="0"/>
        <w:rPr>
          <w:bCs/>
          <w:spacing w:val="-3"/>
        </w:rPr>
      </w:pPr>
      <w:r>
        <w:rPr>
          <w:bCs/>
          <w:spacing w:val="-3"/>
        </w:rPr>
        <w:t>The first memo, due</w:t>
      </w:r>
      <w:r w:rsidR="009E7C3F">
        <w:rPr>
          <w:bCs/>
          <w:spacing w:val="-3"/>
        </w:rPr>
        <w:t xml:space="preserve"> May 1,</w:t>
      </w:r>
      <w:r>
        <w:rPr>
          <w:bCs/>
          <w:spacing w:val="-3"/>
        </w:rPr>
        <w:t xml:space="preserve"> reflects your response to the prompt in the syllabus regarding the case study on NAFTA trade negotiations. </w:t>
      </w:r>
    </w:p>
    <w:p w:rsidR="002C5829" w:rsidRDefault="002C5829" w:rsidP="002C5829">
      <w:pPr>
        <w:pStyle w:val="ListParagraph"/>
        <w:numPr>
          <w:ilvl w:val="0"/>
          <w:numId w:val="1"/>
        </w:numPr>
        <w:spacing w:after="0"/>
        <w:rPr>
          <w:bCs/>
          <w:spacing w:val="-3"/>
        </w:rPr>
      </w:pPr>
      <w:r>
        <w:rPr>
          <w:bCs/>
          <w:spacing w:val="-3"/>
        </w:rPr>
        <w:t xml:space="preserve">The second memo, </w:t>
      </w:r>
      <w:proofErr w:type="gramStart"/>
      <w:r>
        <w:rPr>
          <w:bCs/>
          <w:spacing w:val="-3"/>
        </w:rPr>
        <w:t xml:space="preserve">due  </w:t>
      </w:r>
      <w:r w:rsidR="009E7C3F">
        <w:rPr>
          <w:bCs/>
          <w:spacing w:val="-3"/>
        </w:rPr>
        <w:t>May</w:t>
      </w:r>
      <w:proofErr w:type="gramEnd"/>
      <w:r w:rsidR="009E7C3F">
        <w:rPr>
          <w:bCs/>
          <w:spacing w:val="-3"/>
        </w:rPr>
        <w:t xml:space="preserve"> 22</w:t>
      </w:r>
      <w:r w:rsidR="000A311A">
        <w:rPr>
          <w:bCs/>
          <w:spacing w:val="-3"/>
        </w:rPr>
        <w:t xml:space="preserve">, </w:t>
      </w:r>
      <w:r>
        <w:rPr>
          <w:bCs/>
          <w:spacing w:val="-3"/>
        </w:rPr>
        <w:t xml:space="preserve">requires you to design a democracy promotion strategy for a country to be assigned to you.  </w:t>
      </w:r>
    </w:p>
    <w:p w:rsidR="00910410" w:rsidRPr="0049306E" w:rsidRDefault="00EA4999" w:rsidP="0049306E">
      <w:pPr>
        <w:pStyle w:val="ListParagraph"/>
        <w:numPr>
          <w:ilvl w:val="0"/>
          <w:numId w:val="1"/>
        </w:numPr>
        <w:spacing w:after="0"/>
        <w:rPr>
          <w:bCs/>
          <w:spacing w:val="-3"/>
        </w:rPr>
      </w:pPr>
      <w:r>
        <w:rPr>
          <w:bCs/>
          <w:spacing w:val="-3"/>
        </w:rPr>
        <w:t>The third memo</w:t>
      </w:r>
      <w:r w:rsidR="002C5829">
        <w:rPr>
          <w:bCs/>
          <w:spacing w:val="-3"/>
        </w:rPr>
        <w:t>, to be turned in at any time up to the last day of class,</w:t>
      </w:r>
      <w:r>
        <w:rPr>
          <w:bCs/>
          <w:spacing w:val="-3"/>
        </w:rPr>
        <w:t xml:space="preserve"> requires you to attend a committee or</w:t>
      </w:r>
      <w:r w:rsidR="00FF747B" w:rsidRPr="00EA4999">
        <w:rPr>
          <w:bCs/>
          <w:spacing w:val="-3"/>
        </w:rPr>
        <w:t xml:space="preserve"> subcommittee hearing on an international issue.  I urge you not to leave your subcommittee attendance to the last minute, as the schedule of subcommittee hearings </w:t>
      </w:r>
      <w:r>
        <w:rPr>
          <w:bCs/>
          <w:spacing w:val="-3"/>
        </w:rPr>
        <w:t>is usually posted only a week in advance,</w:t>
      </w:r>
      <w:r w:rsidR="00FF747B" w:rsidRPr="00EA4999">
        <w:rPr>
          <w:bCs/>
          <w:spacing w:val="-3"/>
        </w:rPr>
        <w:t xml:space="preserve"> and may conflict with your internship duties.</w:t>
      </w:r>
      <w:r>
        <w:rPr>
          <w:bCs/>
          <w:spacing w:val="-3"/>
        </w:rPr>
        <w:t xml:space="preserve"> This memo should summarize the most important and relevant aspects of the hearing and indicate </w:t>
      </w:r>
      <w:r>
        <w:rPr>
          <w:bCs/>
          <w:spacing w:val="-3"/>
        </w:rPr>
        <w:lastRenderedPageBreak/>
        <w:t>whether any decision was made. You should turn in your notes of the meeting along with the memo</w:t>
      </w:r>
      <w:r w:rsidR="002C5829">
        <w:rPr>
          <w:bCs/>
          <w:spacing w:val="-3"/>
        </w:rPr>
        <w:t>.</w:t>
      </w:r>
    </w:p>
    <w:p w:rsidR="00910410" w:rsidRDefault="00910410" w:rsidP="00910410">
      <w:pPr>
        <w:pStyle w:val="ListParagraph"/>
        <w:numPr>
          <w:ilvl w:val="0"/>
          <w:numId w:val="2"/>
        </w:numPr>
        <w:spacing w:after="0"/>
        <w:rPr>
          <w:bCs/>
          <w:spacing w:val="-3"/>
        </w:rPr>
      </w:pPr>
      <w:r>
        <w:rPr>
          <w:bCs/>
          <w:spacing w:val="-3"/>
        </w:rPr>
        <w:t>To find committee schedules for the Senate, see</w:t>
      </w:r>
      <w:r w:rsidRPr="00910410">
        <w:t xml:space="preserve"> </w:t>
      </w:r>
      <w:hyperlink r:id="rId5" w:history="1">
        <w:r w:rsidRPr="00437DED">
          <w:rPr>
            <w:rStyle w:val="Hyperlink"/>
            <w:bCs/>
            <w:spacing w:val="-3"/>
          </w:rPr>
          <w:t>http://www.senate.gov/pagelayout/committees/d_three_sections_with_teasers/committees_home.htm</w:t>
        </w:r>
      </w:hyperlink>
      <w:r>
        <w:rPr>
          <w:bCs/>
          <w:spacing w:val="-3"/>
        </w:rPr>
        <w:t xml:space="preserve"> </w:t>
      </w:r>
      <w:r w:rsidRPr="00910410">
        <w:rPr>
          <w:bCs/>
          <w:spacing w:val="-3"/>
        </w:rPr>
        <w:t xml:space="preserve">and click </w:t>
      </w:r>
      <w:r>
        <w:rPr>
          <w:bCs/>
          <w:spacing w:val="-3"/>
        </w:rPr>
        <w:t>on the committee you want to hear</w:t>
      </w:r>
      <w:r w:rsidRPr="00910410">
        <w:rPr>
          <w:bCs/>
          <w:spacing w:val="-3"/>
        </w:rPr>
        <w:t>.</w:t>
      </w:r>
    </w:p>
    <w:p w:rsidR="00910410" w:rsidRPr="0049306E" w:rsidRDefault="00910410" w:rsidP="00910410">
      <w:pPr>
        <w:pStyle w:val="ListParagraph"/>
        <w:numPr>
          <w:ilvl w:val="0"/>
          <w:numId w:val="2"/>
        </w:numPr>
        <w:spacing w:after="0"/>
        <w:rPr>
          <w:bCs/>
          <w:spacing w:val="-3"/>
        </w:rPr>
      </w:pPr>
      <w:r w:rsidRPr="00910410">
        <w:rPr>
          <w:bCs/>
          <w:spacing w:val="-3"/>
        </w:rPr>
        <w:t xml:space="preserve">To find committee schedules for the House, see </w:t>
      </w:r>
      <w:hyperlink r:id="rId6" w:history="1">
        <w:r w:rsidRPr="00910410">
          <w:rPr>
            <w:rStyle w:val="Hyperlink"/>
            <w:bCs/>
            <w:spacing w:val="-3"/>
          </w:rPr>
          <w:t>http://www.house.gov/committees/</w:t>
        </w:r>
      </w:hyperlink>
      <w:r w:rsidRPr="00910410">
        <w:rPr>
          <w:bCs/>
          <w:spacing w:val="-3"/>
        </w:rPr>
        <w:t xml:space="preserve"> and click on the committee you </w:t>
      </w:r>
      <w:r>
        <w:rPr>
          <w:bCs/>
          <w:spacing w:val="-3"/>
        </w:rPr>
        <w:t>want to hear</w:t>
      </w:r>
      <w:r w:rsidRPr="00910410">
        <w:rPr>
          <w:bCs/>
          <w:spacing w:val="-3"/>
        </w:rPr>
        <w:t>.</w:t>
      </w:r>
    </w:p>
    <w:p w:rsidR="00EA4999" w:rsidRPr="00EA4999" w:rsidRDefault="00EA4999" w:rsidP="00EA4999">
      <w:pPr>
        <w:pStyle w:val="ListParagraph"/>
        <w:spacing w:after="0"/>
        <w:ind w:left="1080"/>
        <w:rPr>
          <w:bCs/>
          <w:spacing w:val="-3"/>
        </w:rPr>
      </w:pPr>
    </w:p>
    <w:p w:rsidR="00B219F4" w:rsidRDefault="00B219F4" w:rsidP="008051FB">
      <w:pPr>
        <w:spacing w:after="0"/>
        <w:rPr>
          <w:bCs/>
          <w:spacing w:val="-3"/>
        </w:rPr>
      </w:pPr>
      <w:r w:rsidRPr="00B219F4">
        <w:rPr>
          <w:b/>
          <w:bCs/>
          <w:spacing w:val="-3"/>
        </w:rPr>
        <w:t>Availability of Readings</w:t>
      </w:r>
    </w:p>
    <w:p w:rsidR="00B219F4" w:rsidRDefault="00B219F4" w:rsidP="008051FB">
      <w:pPr>
        <w:spacing w:after="0"/>
        <w:rPr>
          <w:bCs/>
          <w:spacing w:val="-3"/>
        </w:rPr>
      </w:pPr>
    </w:p>
    <w:p w:rsidR="00B219F4" w:rsidRPr="00B219F4" w:rsidRDefault="00B219F4" w:rsidP="008051FB">
      <w:pPr>
        <w:spacing w:after="0"/>
        <w:rPr>
          <w:bCs/>
          <w:spacing w:val="-3"/>
        </w:rPr>
      </w:pPr>
      <w:r>
        <w:rPr>
          <w:bCs/>
          <w:spacing w:val="-3"/>
        </w:rPr>
        <w:t xml:space="preserve">For your convenience (and to avoid the cost of printing a reader), all readings are available online, either attached to the course description for this course, in PDF by purchase from </w:t>
      </w:r>
      <w:hyperlink r:id="rId7" w:history="1">
        <w:r w:rsidRPr="00437DED">
          <w:rPr>
            <w:rStyle w:val="Hyperlink"/>
            <w:bCs/>
            <w:spacing w:val="-3"/>
          </w:rPr>
          <w:t>www.guisd.org</w:t>
        </w:r>
      </w:hyperlink>
      <w:proofErr w:type="gramStart"/>
      <w:r>
        <w:rPr>
          <w:bCs/>
          <w:spacing w:val="-3"/>
        </w:rPr>
        <w:t>,  or</w:t>
      </w:r>
      <w:proofErr w:type="gramEnd"/>
      <w:r>
        <w:rPr>
          <w:bCs/>
          <w:spacing w:val="-3"/>
        </w:rPr>
        <w:t xml:space="preserve"> through a link in</w:t>
      </w:r>
      <w:r w:rsidR="0049306E">
        <w:rPr>
          <w:bCs/>
          <w:spacing w:val="-3"/>
        </w:rPr>
        <w:t xml:space="preserve"> the</w:t>
      </w:r>
      <w:r>
        <w:rPr>
          <w:bCs/>
          <w:spacing w:val="-3"/>
        </w:rPr>
        <w:t xml:space="preserve"> syllabus.</w:t>
      </w:r>
    </w:p>
    <w:p w:rsidR="00B219F4" w:rsidRDefault="00B219F4" w:rsidP="008051FB">
      <w:pPr>
        <w:spacing w:after="0"/>
        <w:rPr>
          <w:b/>
          <w:bCs/>
          <w:spacing w:val="-3"/>
        </w:rPr>
      </w:pPr>
    </w:p>
    <w:p w:rsidR="009D0CC8" w:rsidRDefault="009D0CC8" w:rsidP="008051FB">
      <w:pPr>
        <w:spacing w:after="0"/>
        <w:rPr>
          <w:b/>
          <w:bCs/>
          <w:spacing w:val="-3"/>
        </w:rPr>
      </w:pPr>
      <w:r w:rsidRPr="009D0CC8">
        <w:rPr>
          <w:b/>
          <w:bCs/>
          <w:spacing w:val="-3"/>
        </w:rPr>
        <w:t>Policy on Original Work and Use of Sources</w:t>
      </w:r>
    </w:p>
    <w:p w:rsidR="00FF1B47" w:rsidRPr="009D0CC8" w:rsidRDefault="00FF1B47" w:rsidP="008051FB">
      <w:pPr>
        <w:spacing w:after="0"/>
        <w:rPr>
          <w:b/>
          <w:spacing w:val="-3"/>
        </w:rPr>
      </w:pPr>
    </w:p>
    <w:p w:rsidR="009D0CC8" w:rsidRDefault="009D0CC8" w:rsidP="009D0CC8">
      <w:pPr>
        <w:rPr>
          <w:spacing w:val="-3"/>
        </w:rPr>
      </w:pPr>
      <w:r>
        <w:rPr>
          <w:spacing w:val="-3"/>
        </w:rPr>
        <w:t xml:space="preserve">Responsibly attributing ideas is an important part of all research.  While students are encouraged to discuss their ideas with classmates and others, all work submitted in this course must ultimately be your own.  Please raise </w:t>
      </w:r>
      <w:r w:rsidR="00D05829">
        <w:rPr>
          <w:spacing w:val="-3"/>
        </w:rPr>
        <w:t>any questions about appropriate</w:t>
      </w:r>
      <w:r w:rsidR="00FF1B47">
        <w:rPr>
          <w:spacing w:val="-3"/>
        </w:rPr>
        <w:t xml:space="preserve"> citation </w:t>
      </w:r>
      <w:r w:rsidR="00D05829">
        <w:rPr>
          <w:spacing w:val="-3"/>
        </w:rPr>
        <w:t>form</w:t>
      </w:r>
      <w:r>
        <w:rPr>
          <w:spacing w:val="-3"/>
        </w:rPr>
        <w:t xml:space="preserve"> with the </w:t>
      </w:r>
      <w:r w:rsidR="00FF1B47">
        <w:rPr>
          <w:spacing w:val="-3"/>
        </w:rPr>
        <w:t>instructor well in advance of due dates.</w:t>
      </w:r>
    </w:p>
    <w:p w:rsidR="009D0CC8" w:rsidRPr="00FF1B47" w:rsidRDefault="00E0661C" w:rsidP="009D0CC8">
      <w:pPr>
        <w:rPr>
          <w:spacing w:val="-3"/>
          <w:u w:val="single"/>
        </w:rPr>
      </w:pPr>
      <w:r w:rsidRPr="00FF1B47">
        <w:rPr>
          <w:b/>
          <w:spacing w:val="-3"/>
          <w:u w:val="single"/>
        </w:rPr>
        <w:t>Class Topics and Meeting Schedule</w:t>
      </w:r>
    </w:p>
    <w:p w:rsidR="0049306E" w:rsidRDefault="0049306E" w:rsidP="00D10AD6">
      <w:pPr>
        <w:rPr>
          <w:b/>
        </w:rPr>
      </w:pPr>
      <w:r>
        <w:rPr>
          <w:b/>
        </w:rPr>
        <w:t>March 27-</w:t>
      </w:r>
      <w:r w:rsidR="00977ACA">
        <w:rPr>
          <w:b/>
        </w:rPr>
        <w:t>April 10</w:t>
      </w:r>
    </w:p>
    <w:p w:rsidR="00977ACA" w:rsidRPr="00572785" w:rsidRDefault="00977ACA" w:rsidP="00977ACA">
      <w:pPr>
        <w:rPr>
          <w:b/>
        </w:rPr>
      </w:pPr>
      <w:r w:rsidRPr="00572785">
        <w:rPr>
          <w:b/>
        </w:rPr>
        <w:t>International Development</w:t>
      </w:r>
      <w:r>
        <w:rPr>
          <w:b/>
        </w:rPr>
        <w:t xml:space="preserve"> Assistance</w:t>
      </w:r>
    </w:p>
    <w:p w:rsidR="00977ACA" w:rsidRDefault="00977ACA" w:rsidP="00977ACA">
      <w:r>
        <w:t xml:space="preserve">March 27: The International Aid Community </w:t>
      </w:r>
    </w:p>
    <w:p w:rsidR="00977ACA" w:rsidRDefault="00977ACA" w:rsidP="00977ACA">
      <w:pPr>
        <w:spacing w:after="0" w:line="240" w:lineRule="auto"/>
      </w:pPr>
      <w:r>
        <w:tab/>
        <w:t xml:space="preserve">Downs, “Negotiating Development Assistance: USAID and the Choice between Private and </w:t>
      </w:r>
    </w:p>
    <w:p w:rsidR="00977ACA" w:rsidRDefault="00977ACA" w:rsidP="00977ACA">
      <w:pPr>
        <w:spacing w:after="0" w:line="240" w:lineRule="auto"/>
      </w:pPr>
      <w:r>
        <w:tab/>
      </w:r>
      <w:r>
        <w:tab/>
      </w:r>
      <w:proofErr w:type="gramStart"/>
      <w:r>
        <w:t>Public Implementation in Haiti.”</w:t>
      </w:r>
      <w:proofErr w:type="gramEnd"/>
    </w:p>
    <w:p w:rsidR="00977ACA" w:rsidRDefault="00977ACA" w:rsidP="00977ACA">
      <w:pPr>
        <w:spacing w:after="0" w:line="240" w:lineRule="auto"/>
      </w:pPr>
      <w:r>
        <w:tab/>
      </w:r>
      <w:r>
        <w:tab/>
        <w:t xml:space="preserve">GUISD Case Study #207, available online at </w:t>
      </w:r>
      <w:hyperlink r:id="rId8" w:history="1">
        <w:r w:rsidRPr="00533EE4">
          <w:rPr>
            <w:rStyle w:val="Hyperlink"/>
          </w:rPr>
          <w:t>http://www.guisd.org</w:t>
        </w:r>
      </w:hyperlink>
    </w:p>
    <w:p w:rsidR="00977ACA" w:rsidRPr="00977ACA" w:rsidRDefault="00977ACA" w:rsidP="00977ACA">
      <w:pPr>
        <w:spacing w:after="0" w:line="240" w:lineRule="auto"/>
      </w:pPr>
    </w:p>
    <w:p w:rsidR="00977ACA" w:rsidRPr="00B9211B" w:rsidRDefault="009E7C3F" w:rsidP="00977ACA">
      <w:pPr>
        <w:rPr>
          <w:rFonts w:cstheme="minorHAnsi"/>
        </w:rPr>
      </w:pPr>
      <w:r>
        <w:t>April 3</w:t>
      </w:r>
      <w:r w:rsidR="00977ACA">
        <w:t xml:space="preserve">: </w:t>
      </w:r>
      <w:r w:rsidR="00977ACA" w:rsidRPr="00B9211B">
        <w:rPr>
          <w:rFonts w:cstheme="minorHAnsi"/>
        </w:rPr>
        <w:t xml:space="preserve">Approaches to development assistance: World Bank versus </w:t>
      </w:r>
      <w:proofErr w:type="spellStart"/>
      <w:r w:rsidR="00977ACA" w:rsidRPr="00B9211B">
        <w:rPr>
          <w:rFonts w:cstheme="minorHAnsi"/>
        </w:rPr>
        <w:t>Grameen</w:t>
      </w:r>
      <w:proofErr w:type="spellEnd"/>
      <w:r w:rsidR="00977ACA" w:rsidRPr="00B9211B">
        <w:rPr>
          <w:rFonts w:cstheme="minorHAnsi"/>
        </w:rPr>
        <w:t xml:space="preserve"> Bank</w:t>
      </w:r>
    </w:p>
    <w:p w:rsidR="00977ACA" w:rsidRPr="00B9211B" w:rsidRDefault="00977ACA" w:rsidP="00977ACA">
      <w:pPr>
        <w:spacing w:after="0" w:line="240" w:lineRule="auto"/>
        <w:rPr>
          <w:rFonts w:cstheme="minorHAnsi"/>
          <w:color w:val="000000"/>
        </w:rPr>
      </w:pPr>
      <w:r w:rsidRPr="00B9211B">
        <w:rPr>
          <w:rFonts w:cstheme="minorHAnsi"/>
        </w:rPr>
        <w:t>Evaluate a Status of Projects in Execution (SOPE) report for 2010 for a country of your choice. What kind of projects did the World Bank fund in this country in 2010? What appear to be the main results? (</w:t>
      </w:r>
      <w:proofErr w:type="gramStart"/>
      <w:r w:rsidRPr="00B9211B">
        <w:rPr>
          <w:rFonts w:cstheme="minorHAnsi"/>
        </w:rPr>
        <w:t>available</w:t>
      </w:r>
      <w:proofErr w:type="gramEnd"/>
      <w:r w:rsidRPr="00B9211B">
        <w:rPr>
          <w:rFonts w:cstheme="minorHAnsi"/>
        </w:rPr>
        <w:t xml:space="preserve"> online through </w:t>
      </w:r>
      <w:hyperlink r:id="rId9" w:history="1">
        <w:r w:rsidRPr="00B9211B">
          <w:rPr>
            <w:rFonts w:cstheme="minorHAnsi"/>
            <w:color w:val="204E84"/>
            <w:u w:val="single"/>
          </w:rPr>
          <w:t>http://go.worldbank.org/888TBTGHD0</w:t>
        </w:r>
      </w:hyperlink>
      <w:r w:rsidRPr="00B9211B">
        <w:rPr>
          <w:rFonts w:cstheme="minorHAnsi"/>
          <w:color w:val="000000"/>
        </w:rPr>
        <w:t>) Please provide a written summary as well as preparing an oral presentation.</w:t>
      </w:r>
    </w:p>
    <w:p w:rsidR="00977ACA" w:rsidRDefault="00977ACA" w:rsidP="00977ACA">
      <w:pPr>
        <w:spacing w:after="0"/>
        <w:rPr>
          <w:rFonts w:cstheme="minorHAnsi"/>
          <w:color w:val="FF0000"/>
        </w:rPr>
      </w:pPr>
    </w:p>
    <w:p w:rsidR="00977ACA" w:rsidRDefault="00977ACA" w:rsidP="00977ACA">
      <w:pPr>
        <w:spacing w:after="0"/>
        <w:rPr>
          <w:rFonts w:cstheme="minorHAnsi"/>
          <w:color w:val="FF0000"/>
        </w:rPr>
      </w:pPr>
      <w:r>
        <w:rPr>
          <w:rFonts w:cstheme="minorHAnsi"/>
          <w:color w:val="FF0000"/>
        </w:rPr>
        <w:t>Office visit:   Bring in your research question (in written form)</w:t>
      </w:r>
    </w:p>
    <w:p w:rsidR="00977ACA" w:rsidRPr="00B9211B" w:rsidRDefault="00977ACA" w:rsidP="00977ACA">
      <w:pPr>
        <w:spacing w:after="0"/>
        <w:rPr>
          <w:rFonts w:cstheme="minorHAnsi"/>
          <w:color w:val="FF0000"/>
        </w:rPr>
      </w:pPr>
    </w:p>
    <w:p w:rsidR="00977ACA" w:rsidRDefault="00977ACA">
      <w:r>
        <w:br w:type="page"/>
      </w:r>
    </w:p>
    <w:p w:rsidR="00977ACA" w:rsidRDefault="009E7C3F" w:rsidP="00977ACA">
      <w:pPr>
        <w:spacing w:after="0"/>
      </w:pPr>
      <w:r>
        <w:lastRenderedPageBreak/>
        <w:t>April 10</w:t>
      </w:r>
      <w:r w:rsidR="00977ACA">
        <w:t xml:space="preserve"> </w:t>
      </w:r>
      <w:proofErr w:type="gramStart"/>
      <w:r w:rsidR="00977ACA">
        <w:t>Assessing</w:t>
      </w:r>
      <w:proofErr w:type="gramEnd"/>
      <w:r w:rsidR="00977ACA">
        <w:t xml:space="preserve"> outcomes: How do you know if your program ‘worked’?</w:t>
      </w:r>
    </w:p>
    <w:p w:rsidR="00977ACA" w:rsidRDefault="00977ACA" w:rsidP="00977ACA">
      <w:pPr>
        <w:spacing w:after="0" w:line="240" w:lineRule="auto"/>
      </w:pPr>
      <w:r>
        <w:tab/>
      </w:r>
    </w:p>
    <w:p w:rsidR="00977ACA" w:rsidRDefault="00977ACA" w:rsidP="00977ACA">
      <w:pPr>
        <w:spacing w:after="0" w:line="240" w:lineRule="auto"/>
        <w:rPr>
          <w:i/>
        </w:rPr>
      </w:pPr>
      <w:r>
        <w:tab/>
        <w:t xml:space="preserve">Baker, “Concepts and Techniques for Impact Evaluation,” from </w:t>
      </w:r>
      <w:r>
        <w:rPr>
          <w:i/>
        </w:rPr>
        <w:t xml:space="preserve">Evaluating the Impact of </w:t>
      </w:r>
      <w:r>
        <w:rPr>
          <w:i/>
        </w:rPr>
        <w:tab/>
      </w:r>
      <w:r>
        <w:rPr>
          <w:i/>
        </w:rPr>
        <w:tab/>
      </w:r>
      <w:r>
        <w:rPr>
          <w:i/>
        </w:rPr>
        <w:tab/>
      </w:r>
      <w:r>
        <w:rPr>
          <w:i/>
        </w:rPr>
        <w:tab/>
        <w:t>Development P</w:t>
      </w:r>
      <w:r w:rsidRPr="00BD6E79">
        <w:rPr>
          <w:i/>
        </w:rPr>
        <w:t>rojects on</w:t>
      </w:r>
      <w:r>
        <w:rPr>
          <w:i/>
        </w:rPr>
        <w:t xml:space="preserve"> P</w:t>
      </w:r>
      <w:r w:rsidRPr="00BD6E79">
        <w:rPr>
          <w:i/>
        </w:rPr>
        <w:t>overty: A Handbook for Practitioners</w:t>
      </w:r>
    </w:p>
    <w:p w:rsidR="00977ACA" w:rsidRDefault="00977ACA" w:rsidP="00977ACA">
      <w:pPr>
        <w:spacing w:after="0" w:line="240" w:lineRule="auto"/>
        <w:ind w:left="720"/>
      </w:pPr>
      <w:r>
        <w:t>Lab component: read a 3-4 page evaluation of a program—selected as examples of best-</w:t>
      </w:r>
    </w:p>
    <w:p w:rsidR="00977ACA" w:rsidRDefault="00977ACA" w:rsidP="00977ACA">
      <w:pPr>
        <w:spacing w:after="0" w:line="240" w:lineRule="auto"/>
        <w:ind w:left="1440"/>
      </w:pPr>
      <w:proofErr w:type="gramStart"/>
      <w:r>
        <w:t>practices</w:t>
      </w:r>
      <w:proofErr w:type="gramEnd"/>
      <w:r>
        <w:t xml:space="preserve"> in program evaluation—to report to the class on the challenges of program evaluation in the specific case, and how evaluators responded to these challenges. (</w:t>
      </w:r>
      <w:proofErr w:type="gramStart"/>
      <w:r>
        <w:t>cases</w:t>
      </w:r>
      <w:proofErr w:type="gramEnd"/>
      <w:r>
        <w:t xml:space="preserve"> available online in the class electronic folder)</w:t>
      </w:r>
    </w:p>
    <w:p w:rsidR="00977ACA" w:rsidRDefault="00977ACA" w:rsidP="00977ACA">
      <w:pPr>
        <w:spacing w:after="0" w:line="240" w:lineRule="auto"/>
        <w:ind w:left="1440"/>
        <w:rPr>
          <w:b/>
        </w:rPr>
      </w:pPr>
    </w:p>
    <w:p w:rsidR="00977ACA" w:rsidRDefault="00977ACA" w:rsidP="00801EBE">
      <w:pPr>
        <w:spacing w:after="0" w:line="240" w:lineRule="auto"/>
        <w:rPr>
          <w:color w:val="FF0000"/>
        </w:rPr>
      </w:pPr>
      <w:r w:rsidRPr="00977ACA">
        <w:rPr>
          <w:color w:val="FF0000"/>
        </w:rPr>
        <w:t>Office visit: Prepare two alternative hypotheses</w:t>
      </w:r>
      <w:r w:rsidR="00801EBE">
        <w:rPr>
          <w:color w:val="FF0000"/>
        </w:rPr>
        <w:t xml:space="preserve"> (Hint: it will help to have done a bibliography search and scanned abstracts of some articles to determine what people think is the answer to your question).</w:t>
      </w:r>
    </w:p>
    <w:p w:rsidR="00801EBE" w:rsidRPr="00977ACA" w:rsidRDefault="00801EBE" w:rsidP="00801EBE">
      <w:pPr>
        <w:spacing w:after="0" w:line="240" w:lineRule="auto"/>
        <w:rPr>
          <w:color w:val="FF0000"/>
        </w:rPr>
      </w:pPr>
    </w:p>
    <w:p w:rsidR="00326A16" w:rsidRDefault="009E7C3F" w:rsidP="00801EBE">
      <w:pPr>
        <w:spacing w:after="0" w:line="240" w:lineRule="auto"/>
        <w:rPr>
          <w:b/>
        </w:rPr>
      </w:pPr>
      <w:r>
        <w:rPr>
          <w:b/>
        </w:rPr>
        <w:t>April 17-April 24</w:t>
      </w:r>
      <w:r w:rsidR="00E0661C" w:rsidRPr="00572785">
        <w:rPr>
          <w:b/>
        </w:rPr>
        <w:t>: Trade Negotiations: The Case of NAFTA</w:t>
      </w:r>
    </w:p>
    <w:p w:rsidR="00801EBE" w:rsidRPr="00326A16" w:rsidRDefault="00801EBE" w:rsidP="00801EBE">
      <w:pPr>
        <w:spacing w:after="0" w:line="240" w:lineRule="auto"/>
        <w:rPr>
          <w:b/>
        </w:rPr>
      </w:pPr>
    </w:p>
    <w:p w:rsidR="00527EB0" w:rsidRDefault="009E7C3F" w:rsidP="00801EBE">
      <w:pPr>
        <w:spacing w:line="240" w:lineRule="auto"/>
      </w:pPr>
      <w:r>
        <w:t>April 17</w:t>
      </w:r>
      <w:r w:rsidR="00572785">
        <w:t>: Historical context and goals of NAFTA</w:t>
      </w:r>
    </w:p>
    <w:p w:rsidR="00977ACA" w:rsidRDefault="003F50CC" w:rsidP="00977ACA">
      <w:r>
        <w:tab/>
      </w:r>
      <w:proofErr w:type="gramStart"/>
      <w:r w:rsidR="00081C13">
        <w:t xml:space="preserve">Cameron and Tomlin, “Getting to the Table,” from </w:t>
      </w:r>
      <w:r>
        <w:rPr>
          <w:i/>
        </w:rPr>
        <w:t>The Making of NAFTA</w:t>
      </w:r>
      <w:r w:rsidR="00F636BC">
        <w:t>.</w:t>
      </w:r>
      <w:proofErr w:type="gramEnd"/>
    </w:p>
    <w:p w:rsidR="00977ACA" w:rsidRDefault="00977ACA" w:rsidP="00801EBE">
      <w:pPr>
        <w:spacing w:after="0" w:line="240" w:lineRule="auto"/>
        <w:rPr>
          <w:color w:val="FF0000"/>
        </w:rPr>
      </w:pPr>
      <w:r>
        <w:rPr>
          <w:color w:val="FF0000"/>
        </w:rPr>
        <w:t>RESEARCH PROPOSAL DUE (all students): one page, and preliminary bibliography</w:t>
      </w:r>
    </w:p>
    <w:p w:rsidR="00977ACA" w:rsidRPr="00977ACA" w:rsidRDefault="00977ACA" w:rsidP="00801EBE">
      <w:pPr>
        <w:spacing w:after="0" w:line="240" w:lineRule="auto"/>
        <w:rPr>
          <w:color w:val="FF0000"/>
        </w:rPr>
      </w:pPr>
    </w:p>
    <w:p w:rsidR="00572785" w:rsidRDefault="009E7C3F" w:rsidP="000B1D5E">
      <w:r>
        <w:t>April 24</w:t>
      </w:r>
      <w:r w:rsidR="00572785">
        <w:t>: Negotiations: the Mexican perspective</w:t>
      </w:r>
    </w:p>
    <w:p w:rsidR="00CB24C2" w:rsidRDefault="00081C13">
      <w:r>
        <w:tab/>
      </w:r>
      <w:r w:rsidR="00471C1F">
        <w:t xml:space="preserve">Grayson, “Lobbying by Mexico and Canada,” from </w:t>
      </w:r>
      <w:proofErr w:type="gramStart"/>
      <w:r w:rsidR="00471C1F">
        <w:rPr>
          <w:i/>
        </w:rPr>
        <w:t>The</w:t>
      </w:r>
      <w:proofErr w:type="gramEnd"/>
      <w:r w:rsidR="00471C1F">
        <w:rPr>
          <w:i/>
        </w:rPr>
        <w:t xml:space="preserve"> Controversial Pivot</w:t>
      </w:r>
    </w:p>
    <w:p w:rsidR="00572785" w:rsidRDefault="009E7C3F" w:rsidP="000B1D5E">
      <w:r>
        <w:t>May 1</w:t>
      </w:r>
      <w:r w:rsidR="00572785">
        <w:t>: Negotiations: the U.S. perspective</w:t>
      </w:r>
    </w:p>
    <w:p w:rsidR="00204309" w:rsidRDefault="00204309" w:rsidP="00204309">
      <w:pPr>
        <w:spacing w:after="0" w:line="240" w:lineRule="auto"/>
      </w:pPr>
      <w:r>
        <w:tab/>
        <w:t>Lovely, “Thinking Globally, Acting Locally: Congressman Jim Walsh and the NAFTA vote”</w:t>
      </w:r>
    </w:p>
    <w:p w:rsidR="00204309" w:rsidRDefault="00204309" w:rsidP="00204309">
      <w:pPr>
        <w:spacing w:after="0" w:line="240" w:lineRule="auto"/>
      </w:pPr>
      <w:r>
        <w:tab/>
      </w:r>
      <w:r>
        <w:tab/>
        <w:t xml:space="preserve">GUISD Case Study #160, available online at </w:t>
      </w:r>
      <w:hyperlink r:id="rId10" w:history="1">
        <w:r w:rsidRPr="00533EE4">
          <w:rPr>
            <w:rStyle w:val="Hyperlink"/>
          </w:rPr>
          <w:t>http://www.guisd.org</w:t>
        </w:r>
      </w:hyperlink>
      <w:r>
        <w:t xml:space="preserve"> </w:t>
      </w:r>
    </w:p>
    <w:p w:rsidR="00204309" w:rsidRPr="00FF1B47" w:rsidRDefault="00204309" w:rsidP="00204309">
      <w:pPr>
        <w:spacing w:after="0" w:line="240" w:lineRule="auto"/>
        <w:rPr>
          <w:color w:val="FF0000"/>
        </w:rPr>
      </w:pPr>
    </w:p>
    <w:p w:rsidR="008051FB" w:rsidRDefault="008051FB" w:rsidP="00A14401">
      <w:pPr>
        <w:spacing w:after="0" w:line="240" w:lineRule="auto"/>
        <w:rPr>
          <w:color w:val="FF0000"/>
        </w:rPr>
      </w:pPr>
      <w:r w:rsidRPr="00FF1B47">
        <w:rPr>
          <w:color w:val="FF0000"/>
        </w:rPr>
        <w:t xml:space="preserve">BRIEFING MEMO DUE </w:t>
      </w:r>
      <w:r w:rsidR="00801EBE">
        <w:rPr>
          <w:color w:val="FF0000"/>
        </w:rPr>
        <w:t xml:space="preserve">MAY </w:t>
      </w:r>
      <w:r w:rsidR="009E7C3F">
        <w:rPr>
          <w:color w:val="FF0000"/>
        </w:rPr>
        <w:t>1</w:t>
      </w:r>
    </w:p>
    <w:p w:rsidR="00A14401" w:rsidRPr="00FF1B47" w:rsidRDefault="00A14401" w:rsidP="00A14401">
      <w:pPr>
        <w:spacing w:after="0" w:line="240" w:lineRule="auto"/>
        <w:rPr>
          <w:color w:val="FF0000"/>
        </w:rPr>
      </w:pPr>
    </w:p>
    <w:p w:rsidR="001E7BC5" w:rsidRPr="00801EBE" w:rsidRDefault="00FF1B47" w:rsidP="00B219F4">
      <w:pPr>
        <w:spacing w:line="240" w:lineRule="auto"/>
        <w:rPr>
          <w:color w:val="FF0000"/>
        </w:rPr>
      </w:pPr>
      <w:r w:rsidRPr="00FF1B47">
        <w:rPr>
          <w:color w:val="FF0000"/>
        </w:rPr>
        <w:t>Write a one-page memo to Congressman Walsh, giving yo</w:t>
      </w:r>
      <w:r w:rsidR="00B219F4">
        <w:rPr>
          <w:color w:val="FF0000"/>
        </w:rPr>
        <w:t>ur recommendation for the NAFTA</w:t>
      </w:r>
      <w:r w:rsidR="005E55A9">
        <w:rPr>
          <w:color w:val="FF0000"/>
        </w:rPr>
        <w:t xml:space="preserve"> </w:t>
      </w:r>
      <w:r w:rsidRPr="00FF1B47">
        <w:rPr>
          <w:color w:val="FF0000"/>
        </w:rPr>
        <w:t xml:space="preserve">vote, and listing key advantages and costs to such a vote. </w:t>
      </w:r>
      <w:r w:rsidR="00B219F4">
        <w:rPr>
          <w:color w:val="FF0000"/>
        </w:rPr>
        <w:t xml:space="preserve">Note: Think about this in terms of </w:t>
      </w:r>
      <w:r w:rsidR="00B219F4" w:rsidRPr="005E55A9">
        <w:rPr>
          <w:b/>
          <w:color w:val="FF0000"/>
          <w:u w:val="single"/>
        </w:rPr>
        <w:t>WALSH’</w:t>
      </w:r>
      <w:r w:rsidR="00B219F4">
        <w:rPr>
          <w:color w:val="FF0000"/>
          <w:u w:val="single"/>
        </w:rPr>
        <w:t>s interests rather than just the general advantages/costs of trade</w:t>
      </w:r>
      <w:r w:rsidR="00801EBE">
        <w:rPr>
          <w:color w:val="FF0000"/>
        </w:rPr>
        <w:t>. Follow the format given in the handout.</w:t>
      </w:r>
    </w:p>
    <w:p w:rsidR="000D47A2" w:rsidRPr="000D47A2" w:rsidRDefault="00801EBE" w:rsidP="00801EBE">
      <w:pPr>
        <w:rPr>
          <w:b/>
        </w:rPr>
      </w:pPr>
      <w:r>
        <w:rPr>
          <w:b/>
        </w:rPr>
        <w:t xml:space="preserve">May </w:t>
      </w:r>
      <w:r w:rsidR="009E7C3F">
        <w:rPr>
          <w:b/>
        </w:rPr>
        <w:t>8-22</w:t>
      </w:r>
      <w:r w:rsidR="00E0661C" w:rsidRPr="00572785">
        <w:rPr>
          <w:b/>
        </w:rPr>
        <w:t>:</w:t>
      </w:r>
      <w:r>
        <w:rPr>
          <w:b/>
        </w:rPr>
        <w:t xml:space="preserve"> </w:t>
      </w:r>
      <w:r w:rsidR="00E0661C" w:rsidRPr="00E0661C">
        <w:rPr>
          <w:b/>
        </w:rPr>
        <w:t xml:space="preserve">Democracy Promotion: Challenges to U.S. policy </w:t>
      </w:r>
    </w:p>
    <w:p w:rsidR="00E0661C" w:rsidRDefault="00801EBE" w:rsidP="000B1D5E">
      <w:r>
        <w:t xml:space="preserve">May </w:t>
      </w:r>
      <w:r w:rsidR="009E7C3F">
        <w:t>8</w:t>
      </w:r>
      <w:r w:rsidR="00E0661C">
        <w:t>: Democratization theory: what makes democracy possible? What makes it hard?</w:t>
      </w:r>
    </w:p>
    <w:p w:rsidR="00343A3D" w:rsidRDefault="00343A3D" w:rsidP="000B1D5E">
      <w:r>
        <w:tab/>
      </w:r>
      <w:proofErr w:type="gramStart"/>
      <w:r>
        <w:t xml:space="preserve">Diamond, </w:t>
      </w:r>
      <w:proofErr w:type="spellStart"/>
      <w:r>
        <w:t>Lipset</w:t>
      </w:r>
      <w:proofErr w:type="spellEnd"/>
      <w:r>
        <w:t xml:space="preserve"> and Linz, “Building and Sustaining Democratic Government in Developing </w:t>
      </w:r>
      <w:r>
        <w:tab/>
        <w:t xml:space="preserve">Countries,” </w:t>
      </w:r>
      <w:r w:rsidRPr="00343A3D">
        <w:rPr>
          <w:rStyle w:val="medium-font"/>
          <w:i/>
        </w:rPr>
        <w:t>World Affairs</w:t>
      </w:r>
      <w:r>
        <w:rPr>
          <w:rStyle w:val="medium-font"/>
        </w:rPr>
        <w:t>, 1987.</w:t>
      </w:r>
      <w:proofErr w:type="gramEnd"/>
    </w:p>
    <w:p w:rsidR="00104EE7" w:rsidRDefault="00801EBE" w:rsidP="000B1D5E">
      <w:r>
        <w:t>May 1</w:t>
      </w:r>
      <w:r w:rsidR="009E7C3F">
        <w:t>5</w:t>
      </w:r>
      <w:r w:rsidR="00E0661C">
        <w:t>: U.S. democracy promotion efforts</w:t>
      </w:r>
      <w:r w:rsidR="00D41C65">
        <w:t>—major actors and tools</w:t>
      </w:r>
    </w:p>
    <w:p w:rsidR="00AD44C5" w:rsidRPr="00B61AF2" w:rsidRDefault="00AD44C5" w:rsidP="00AD44C5">
      <w:pPr>
        <w:spacing w:after="0" w:line="240" w:lineRule="auto"/>
      </w:pPr>
      <w:r>
        <w:tab/>
      </w:r>
      <w:r w:rsidR="00B61AF2">
        <w:t xml:space="preserve">Carothers, “Taking Stock of U.S. Democracy Assistance,” from </w:t>
      </w:r>
      <w:r w:rsidR="00B61AF2">
        <w:rPr>
          <w:i/>
        </w:rPr>
        <w:t>American Democracy Promotion</w:t>
      </w:r>
      <w:r w:rsidR="00B61AF2">
        <w:t>.</w:t>
      </w:r>
    </w:p>
    <w:p w:rsidR="00B61AF2" w:rsidRPr="00AD44C5" w:rsidRDefault="00B61AF2" w:rsidP="00B61AF2">
      <w:pPr>
        <w:spacing w:after="0" w:line="240" w:lineRule="auto"/>
      </w:pPr>
      <w:r>
        <w:tab/>
        <w:t xml:space="preserve">Scott and Steele, “Sponsoring Democracy,” </w:t>
      </w:r>
      <w:r>
        <w:rPr>
          <w:i/>
        </w:rPr>
        <w:t>International Studies Quarterly</w:t>
      </w:r>
      <w:r>
        <w:t>, March 2011</w:t>
      </w:r>
    </w:p>
    <w:p w:rsidR="00AD44C5" w:rsidRDefault="00AD44C5" w:rsidP="00AD44C5">
      <w:pPr>
        <w:spacing w:after="0" w:line="240" w:lineRule="auto"/>
      </w:pPr>
    </w:p>
    <w:p w:rsidR="00801EBE" w:rsidRDefault="00801EBE">
      <w:r>
        <w:br w:type="page"/>
      </w:r>
    </w:p>
    <w:p w:rsidR="00085CE1" w:rsidRDefault="00801EBE" w:rsidP="00085CE1">
      <w:r>
        <w:lastRenderedPageBreak/>
        <w:t>May 2</w:t>
      </w:r>
      <w:r w:rsidR="009E7C3F">
        <w:t>2</w:t>
      </w:r>
      <w:r w:rsidR="00E0661C">
        <w:t xml:space="preserve">: </w:t>
      </w:r>
      <w:r w:rsidR="007A0461">
        <w:t>Democracy promotion in Afghanistan and Iraq; Bush v.</w:t>
      </w:r>
      <w:r w:rsidR="00085CE1">
        <w:t xml:space="preserve"> </w:t>
      </w:r>
      <w:r w:rsidR="007A0461">
        <w:t>Obama</w:t>
      </w:r>
    </w:p>
    <w:p w:rsidR="00BF197A" w:rsidRDefault="00085CE1" w:rsidP="00BF197A">
      <w:r>
        <w:tab/>
      </w:r>
      <w:r w:rsidR="00BF197A">
        <w:t>The “Future of Iraq” project (released by the National Security Archive)</w:t>
      </w:r>
    </w:p>
    <w:p w:rsidR="0050246B" w:rsidRDefault="00085CE1" w:rsidP="00BF197A">
      <w:pPr>
        <w:ind w:firstLine="720"/>
      </w:pPr>
      <w:proofErr w:type="spellStart"/>
      <w:r>
        <w:t>Bouchet</w:t>
      </w:r>
      <w:proofErr w:type="spellEnd"/>
      <w:r>
        <w:t>, “Barack Obama’s democracy promotion at midterm”</w:t>
      </w:r>
      <w:r w:rsidR="00D41C65">
        <w:t xml:space="preserve">, </w:t>
      </w:r>
      <w:r>
        <w:rPr>
          <w:i/>
        </w:rPr>
        <w:t xml:space="preserve">The International Journal of </w:t>
      </w:r>
      <w:r>
        <w:rPr>
          <w:i/>
        </w:rPr>
        <w:tab/>
      </w:r>
      <w:r>
        <w:rPr>
          <w:i/>
        </w:rPr>
        <w:tab/>
        <w:t>Human Rights</w:t>
      </w:r>
      <w:r>
        <w:t>, published online April 2011, in hardcopy May 2011</w:t>
      </w:r>
    </w:p>
    <w:p w:rsidR="00081C13" w:rsidRDefault="00D41C65" w:rsidP="0050246B">
      <w:pPr>
        <w:ind w:firstLine="720"/>
      </w:pPr>
      <w:r>
        <w:t>News articles and editorials regarding the Obama administration’s response to the A</w:t>
      </w:r>
      <w:r w:rsidR="00035ECA">
        <w:t>rab S</w:t>
      </w:r>
      <w:r>
        <w:t>pring</w:t>
      </w:r>
      <w:r>
        <w:tab/>
        <w:t>(each student should bring in one article/editorial and be prepared to summarize it for the class)</w:t>
      </w:r>
    </w:p>
    <w:p w:rsidR="002C5829" w:rsidRDefault="000A311A" w:rsidP="002C5829">
      <w:pPr>
        <w:spacing w:after="0" w:line="240" w:lineRule="auto"/>
        <w:rPr>
          <w:color w:val="FF0000"/>
        </w:rPr>
      </w:pPr>
      <w:r>
        <w:rPr>
          <w:color w:val="FF0000"/>
        </w:rPr>
        <w:t xml:space="preserve">BRIEFING MEMO 2, DUE </w:t>
      </w:r>
      <w:r w:rsidR="00801EBE">
        <w:rPr>
          <w:color w:val="FF0000"/>
        </w:rPr>
        <w:t>MAY 2</w:t>
      </w:r>
      <w:r w:rsidR="009E7C3F">
        <w:rPr>
          <w:color w:val="FF0000"/>
        </w:rPr>
        <w:t>2</w:t>
      </w:r>
      <w:r w:rsidR="002C5829" w:rsidRPr="00081C13">
        <w:rPr>
          <w:color w:val="FF0000"/>
        </w:rPr>
        <w:tab/>
      </w:r>
    </w:p>
    <w:p w:rsidR="002C5829" w:rsidRDefault="002C5829" w:rsidP="002C5829">
      <w:pPr>
        <w:spacing w:after="0" w:line="240" w:lineRule="auto"/>
        <w:rPr>
          <w:color w:val="FF0000"/>
        </w:rPr>
      </w:pPr>
    </w:p>
    <w:p w:rsidR="002C5829" w:rsidRDefault="002C5829" w:rsidP="002C5829">
      <w:pPr>
        <w:spacing w:after="0" w:line="240" w:lineRule="auto"/>
        <w:ind w:left="720"/>
        <w:rPr>
          <w:color w:val="FF0000"/>
        </w:rPr>
      </w:pPr>
      <w:r w:rsidRPr="00081C13">
        <w:rPr>
          <w:color w:val="FF0000"/>
        </w:rPr>
        <w:t xml:space="preserve">You will be randomly assigned a country </w:t>
      </w:r>
      <w:r>
        <w:rPr>
          <w:color w:val="FF0000"/>
        </w:rPr>
        <w:t>with fragile or limited democracy. For your s</w:t>
      </w:r>
      <w:r w:rsidRPr="00081C13">
        <w:rPr>
          <w:color w:val="FF0000"/>
        </w:rPr>
        <w:t>upervisor</w:t>
      </w:r>
      <w:r>
        <w:rPr>
          <w:color w:val="FF0000"/>
        </w:rPr>
        <w:t xml:space="preserve"> at USAID</w:t>
      </w:r>
      <w:r w:rsidRPr="00081C13">
        <w:rPr>
          <w:color w:val="FF0000"/>
        </w:rPr>
        <w:t>, devise a democracy promotion strategy for this country.</w:t>
      </w:r>
    </w:p>
    <w:p w:rsidR="002C5829" w:rsidRPr="002C5829" w:rsidRDefault="002C5829" w:rsidP="002C5829">
      <w:pPr>
        <w:spacing w:after="0" w:line="240" w:lineRule="auto"/>
        <w:rPr>
          <w:color w:val="FF0000"/>
        </w:rPr>
      </w:pPr>
    </w:p>
    <w:p w:rsidR="000A311A" w:rsidRPr="000A311A" w:rsidRDefault="000A311A" w:rsidP="000B1D5E">
      <w:pPr>
        <w:rPr>
          <w:color w:val="FF0000"/>
        </w:rPr>
      </w:pPr>
      <w:r>
        <w:rPr>
          <w:color w:val="FF0000"/>
        </w:rPr>
        <w:t xml:space="preserve">DRAFT RESEARCH PAPER DUE BY </w:t>
      </w:r>
      <w:r w:rsidR="00801EBE">
        <w:rPr>
          <w:color w:val="FF0000"/>
        </w:rPr>
        <w:t>MAY</w:t>
      </w:r>
      <w:r>
        <w:rPr>
          <w:color w:val="FF0000"/>
        </w:rPr>
        <w:t xml:space="preserve"> </w:t>
      </w:r>
      <w:r w:rsidR="00801EBE">
        <w:rPr>
          <w:color w:val="FF0000"/>
        </w:rPr>
        <w:t>24.</w:t>
      </w:r>
      <w:r>
        <w:rPr>
          <w:color w:val="FF0000"/>
        </w:rPr>
        <w:t xml:space="preserve"> Optional, but I will review and comment on drafts or annotated outlines, for your revision prior to the final due date. This component is not graded.</w:t>
      </w:r>
    </w:p>
    <w:p w:rsidR="00623EF7" w:rsidRDefault="00801EBE" w:rsidP="000B1D5E">
      <w:pPr>
        <w:rPr>
          <w:b/>
        </w:rPr>
      </w:pPr>
      <w:r>
        <w:rPr>
          <w:b/>
        </w:rPr>
        <w:t xml:space="preserve">MAY </w:t>
      </w:r>
      <w:r w:rsidR="009E7C3F">
        <w:rPr>
          <w:b/>
        </w:rPr>
        <w:t>29</w:t>
      </w:r>
      <w:r w:rsidR="00623EF7">
        <w:rPr>
          <w:b/>
        </w:rPr>
        <w:t>: To Sanction or Not to Sanction: Sanctions and their impact</w:t>
      </w:r>
    </w:p>
    <w:p w:rsidR="006437EB" w:rsidRDefault="00085CE1" w:rsidP="006437EB">
      <w:pPr>
        <w:spacing w:after="0" w:line="240" w:lineRule="auto"/>
      </w:pPr>
      <w:r>
        <w:tab/>
      </w:r>
      <w:proofErr w:type="spellStart"/>
      <w:r w:rsidR="006437EB">
        <w:t>Escriba-Folch</w:t>
      </w:r>
      <w:proofErr w:type="spellEnd"/>
      <w:r w:rsidR="006437EB">
        <w:t xml:space="preserve"> and </w:t>
      </w:r>
      <w:proofErr w:type="spellStart"/>
      <w:r w:rsidR="006437EB">
        <w:t>Wright</w:t>
      </w:r>
      <w:proofErr w:type="gramStart"/>
      <w:r w:rsidR="006437EB">
        <w:t>,</w:t>
      </w:r>
      <w:r w:rsidR="0050246B">
        <w:t>“</w:t>
      </w:r>
      <w:proofErr w:type="gramEnd"/>
      <w:r w:rsidR="0050246B">
        <w:t>Playing</w:t>
      </w:r>
      <w:proofErr w:type="spellEnd"/>
      <w:r w:rsidR="0050246B">
        <w:t xml:space="preserve"> to the Home Crowd? Symbolic Use of Sanctions in the United </w:t>
      </w:r>
    </w:p>
    <w:p w:rsidR="00056397" w:rsidRPr="006437EB" w:rsidRDefault="0050246B" w:rsidP="006437EB">
      <w:pPr>
        <w:spacing w:after="0" w:line="240" w:lineRule="auto"/>
        <w:ind w:firstLine="720"/>
        <w:rPr>
          <w:i/>
        </w:rPr>
      </w:pPr>
      <w:proofErr w:type="gramStart"/>
      <w:r>
        <w:t xml:space="preserve">States” </w:t>
      </w:r>
      <w:r>
        <w:rPr>
          <w:i/>
        </w:rPr>
        <w:t>International Studies Quarterly</w:t>
      </w:r>
      <w:r>
        <w:t>, 2011.</w:t>
      </w:r>
      <w:proofErr w:type="gramEnd"/>
    </w:p>
    <w:p w:rsidR="0050246B" w:rsidRDefault="0050246B" w:rsidP="0050246B">
      <w:pPr>
        <w:spacing w:after="0" w:line="240" w:lineRule="auto"/>
        <w:ind w:firstLine="720"/>
      </w:pPr>
    </w:p>
    <w:p w:rsidR="006437EB" w:rsidRDefault="006437EB" w:rsidP="006437EB">
      <w:pPr>
        <w:spacing w:after="0" w:line="240" w:lineRule="auto"/>
        <w:ind w:firstLine="720"/>
        <w:rPr>
          <w:i/>
        </w:rPr>
      </w:pPr>
      <w:proofErr w:type="spellStart"/>
      <w:r>
        <w:t>Whang</w:t>
      </w:r>
      <w:proofErr w:type="spellEnd"/>
      <w:r>
        <w:t xml:space="preserve">, </w:t>
      </w:r>
      <w:r w:rsidR="0050246B">
        <w:t xml:space="preserve">“Dealing with Tyranny: Sanctions and the Survival of Authoritarian Rulers,” </w:t>
      </w:r>
      <w:r w:rsidR="0050246B">
        <w:rPr>
          <w:i/>
        </w:rPr>
        <w:t xml:space="preserve">International </w:t>
      </w:r>
    </w:p>
    <w:p w:rsidR="0050246B" w:rsidRPr="006437EB" w:rsidRDefault="0050246B" w:rsidP="006437EB">
      <w:pPr>
        <w:spacing w:after="0" w:line="240" w:lineRule="auto"/>
        <w:ind w:firstLine="720"/>
        <w:rPr>
          <w:i/>
        </w:rPr>
      </w:pPr>
      <w:proofErr w:type="gramStart"/>
      <w:r>
        <w:rPr>
          <w:i/>
        </w:rPr>
        <w:t>Studies Quarterly</w:t>
      </w:r>
      <w:r>
        <w:t>, 2010.</w:t>
      </w:r>
      <w:proofErr w:type="gramEnd"/>
    </w:p>
    <w:p w:rsidR="00B219F4" w:rsidRDefault="0050246B" w:rsidP="000A311A">
      <w:pPr>
        <w:spacing w:after="0" w:line="240" w:lineRule="auto"/>
        <w:ind w:firstLine="720"/>
      </w:pPr>
      <w:r>
        <w:rPr>
          <w:color w:val="FF0000"/>
        </w:rPr>
        <w:tab/>
      </w:r>
    </w:p>
    <w:p w:rsidR="004A5AD3" w:rsidRPr="007172E3" w:rsidRDefault="00727322" w:rsidP="004A5AD3">
      <w:pPr>
        <w:rPr>
          <w:color w:val="FF0000"/>
        </w:rPr>
      </w:pPr>
      <w:r>
        <w:rPr>
          <w:color w:val="FF0000"/>
        </w:rPr>
        <w:t xml:space="preserve">FINAL RESEARCH PAPER DUE </w:t>
      </w:r>
      <w:r w:rsidR="00801EBE">
        <w:rPr>
          <w:color w:val="FF0000"/>
        </w:rPr>
        <w:t xml:space="preserve">MAY </w:t>
      </w:r>
      <w:r w:rsidR="009E7C3F">
        <w:rPr>
          <w:color w:val="FF0000"/>
        </w:rPr>
        <w:t>29</w:t>
      </w:r>
      <w:r w:rsidR="00B219F4">
        <w:rPr>
          <w:color w:val="FF0000"/>
        </w:rPr>
        <w:t xml:space="preserve"> </w:t>
      </w:r>
      <w:r>
        <w:rPr>
          <w:color w:val="FF0000"/>
        </w:rPr>
        <w:t>(quarter students)</w:t>
      </w:r>
    </w:p>
    <w:sectPr w:rsidR="004A5AD3" w:rsidRPr="007172E3" w:rsidSect="00591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ABA"/>
    <w:multiLevelType w:val="hybridMultilevel"/>
    <w:tmpl w:val="2C8EC944"/>
    <w:lvl w:ilvl="0" w:tplc="0C2AE20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683C5A"/>
    <w:multiLevelType w:val="hybridMultilevel"/>
    <w:tmpl w:val="915E2EB2"/>
    <w:lvl w:ilvl="0" w:tplc="7B087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D5E"/>
    <w:rsid w:val="0002450C"/>
    <w:rsid w:val="00025DE0"/>
    <w:rsid w:val="00033734"/>
    <w:rsid w:val="00035ECA"/>
    <w:rsid w:val="00056397"/>
    <w:rsid w:val="00081C13"/>
    <w:rsid w:val="00085CE1"/>
    <w:rsid w:val="000935CA"/>
    <w:rsid w:val="000A311A"/>
    <w:rsid w:val="000B1D5E"/>
    <w:rsid w:val="000B7C5E"/>
    <w:rsid w:val="000D47A2"/>
    <w:rsid w:val="000D4DAE"/>
    <w:rsid w:val="000E1A53"/>
    <w:rsid w:val="000E381F"/>
    <w:rsid w:val="000E74D0"/>
    <w:rsid w:val="00102E88"/>
    <w:rsid w:val="00104EE7"/>
    <w:rsid w:val="00153EAA"/>
    <w:rsid w:val="00155A32"/>
    <w:rsid w:val="001959E5"/>
    <w:rsid w:val="001E7BC5"/>
    <w:rsid w:val="00204309"/>
    <w:rsid w:val="00233326"/>
    <w:rsid w:val="002B0A36"/>
    <w:rsid w:val="002C5829"/>
    <w:rsid w:val="00320892"/>
    <w:rsid w:val="003241B7"/>
    <w:rsid w:val="00326A16"/>
    <w:rsid w:val="00343A3D"/>
    <w:rsid w:val="00352B8F"/>
    <w:rsid w:val="0039739B"/>
    <w:rsid w:val="003E1AC6"/>
    <w:rsid w:val="003F50CC"/>
    <w:rsid w:val="00465D58"/>
    <w:rsid w:val="00471C1F"/>
    <w:rsid w:val="0049306E"/>
    <w:rsid w:val="004A5AD3"/>
    <w:rsid w:val="004B4766"/>
    <w:rsid w:val="00500798"/>
    <w:rsid w:val="0050246B"/>
    <w:rsid w:val="00527EB0"/>
    <w:rsid w:val="00532970"/>
    <w:rsid w:val="00572785"/>
    <w:rsid w:val="00590EC5"/>
    <w:rsid w:val="00591239"/>
    <w:rsid w:val="005C3FF6"/>
    <w:rsid w:val="005E55A9"/>
    <w:rsid w:val="005F1E90"/>
    <w:rsid w:val="005F6776"/>
    <w:rsid w:val="0060292A"/>
    <w:rsid w:val="00611C0D"/>
    <w:rsid w:val="00623EF7"/>
    <w:rsid w:val="00626894"/>
    <w:rsid w:val="006437EB"/>
    <w:rsid w:val="00645DF1"/>
    <w:rsid w:val="00652C49"/>
    <w:rsid w:val="0067227C"/>
    <w:rsid w:val="006E78A6"/>
    <w:rsid w:val="007172E3"/>
    <w:rsid w:val="00727322"/>
    <w:rsid w:val="00733E82"/>
    <w:rsid w:val="00736240"/>
    <w:rsid w:val="007563A1"/>
    <w:rsid w:val="007A0461"/>
    <w:rsid w:val="00801EBE"/>
    <w:rsid w:val="008051FB"/>
    <w:rsid w:val="00822F06"/>
    <w:rsid w:val="00890378"/>
    <w:rsid w:val="008A5C21"/>
    <w:rsid w:val="008C66A1"/>
    <w:rsid w:val="00910410"/>
    <w:rsid w:val="00912499"/>
    <w:rsid w:val="00933BA7"/>
    <w:rsid w:val="0094106C"/>
    <w:rsid w:val="00973705"/>
    <w:rsid w:val="00974749"/>
    <w:rsid w:val="00977ACA"/>
    <w:rsid w:val="009B1A74"/>
    <w:rsid w:val="009B4645"/>
    <w:rsid w:val="009B5E6F"/>
    <w:rsid w:val="009D0CC8"/>
    <w:rsid w:val="009E34CE"/>
    <w:rsid w:val="009E7C3F"/>
    <w:rsid w:val="00A10A67"/>
    <w:rsid w:val="00A14401"/>
    <w:rsid w:val="00A167AC"/>
    <w:rsid w:val="00A3211D"/>
    <w:rsid w:val="00A42A96"/>
    <w:rsid w:val="00A63859"/>
    <w:rsid w:val="00A813BD"/>
    <w:rsid w:val="00A85110"/>
    <w:rsid w:val="00AD44C5"/>
    <w:rsid w:val="00B16CF1"/>
    <w:rsid w:val="00B219F4"/>
    <w:rsid w:val="00B347AF"/>
    <w:rsid w:val="00B37049"/>
    <w:rsid w:val="00B61AF2"/>
    <w:rsid w:val="00B9211B"/>
    <w:rsid w:val="00BB64B1"/>
    <w:rsid w:val="00BC379F"/>
    <w:rsid w:val="00BD6E79"/>
    <w:rsid w:val="00BE4E29"/>
    <w:rsid w:val="00BF197A"/>
    <w:rsid w:val="00C75FB0"/>
    <w:rsid w:val="00C8415C"/>
    <w:rsid w:val="00CA416C"/>
    <w:rsid w:val="00CB24C2"/>
    <w:rsid w:val="00D05829"/>
    <w:rsid w:val="00D10AD6"/>
    <w:rsid w:val="00D13DF7"/>
    <w:rsid w:val="00D2607C"/>
    <w:rsid w:val="00D30E13"/>
    <w:rsid w:val="00D41C65"/>
    <w:rsid w:val="00D63422"/>
    <w:rsid w:val="00DE1D10"/>
    <w:rsid w:val="00E0661C"/>
    <w:rsid w:val="00E65554"/>
    <w:rsid w:val="00EA4999"/>
    <w:rsid w:val="00EC32CD"/>
    <w:rsid w:val="00ED1659"/>
    <w:rsid w:val="00F3429E"/>
    <w:rsid w:val="00F40E57"/>
    <w:rsid w:val="00F636BC"/>
    <w:rsid w:val="00FB6F33"/>
    <w:rsid w:val="00FF1B47"/>
    <w:rsid w:val="00FF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09"/>
    <w:rPr>
      <w:color w:val="0000FF" w:themeColor="hyperlink"/>
      <w:u w:val="single"/>
    </w:rPr>
  </w:style>
  <w:style w:type="character" w:customStyle="1" w:styleId="medium-font">
    <w:name w:val="medium-font"/>
    <w:basedOn w:val="DefaultParagraphFont"/>
    <w:rsid w:val="00343A3D"/>
  </w:style>
  <w:style w:type="character" w:customStyle="1" w:styleId="verdana">
    <w:name w:val="verdana"/>
    <w:basedOn w:val="DefaultParagraphFont"/>
    <w:rsid w:val="00FB6F33"/>
  </w:style>
  <w:style w:type="character" w:styleId="Strong">
    <w:name w:val="Strong"/>
    <w:basedOn w:val="DefaultParagraphFont"/>
    <w:uiPriority w:val="22"/>
    <w:qFormat/>
    <w:rsid w:val="00FB6F33"/>
    <w:rPr>
      <w:b/>
      <w:bCs/>
    </w:rPr>
  </w:style>
  <w:style w:type="character" w:styleId="Emphasis">
    <w:name w:val="Emphasis"/>
    <w:basedOn w:val="DefaultParagraphFont"/>
    <w:uiPriority w:val="20"/>
    <w:qFormat/>
    <w:rsid w:val="00FB6F33"/>
    <w:rPr>
      <w:i/>
      <w:iCs/>
    </w:rPr>
  </w:style>
  <w:style w:type="character" w:styleId="FollowedHyperlink">
    <w:name w:val="FollowedHyperlink"/>
    <w:basedOn w:val="DefaultParagraphFont"/>
    <w:uiPriority w:val="99"/>
    <w:semiHidden/>
    <w:unhideWhenUsed/>
    <w:rsid w:val="00025DE0"/>
    <w:rPr>
      <w:color w:val="800080" w:themeColor="followedHyperlink"/>
      <w:u w:val="single"/>
    </w:rPr>
  </w:style>
  <w:style w:type="paragraph" w:customStyle="1" w:styleId="Default">
    <w:name w:val="Default"/>
    <w:rsid w:val="00EC32C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A49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sd.org" TargetMode="External"/><Relationship Id="rId3" Type="http://schemas.openxmlformats.org/officeDocument/2006/relationships/settings" Target="settings.xml"/><Relationship Id="rId7" Type="http://schemas.openxmlformats.org/officeDocument/2006/relationships/hyperlink" Target="http://www.gu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e.gov/committees/" TargetMode="External"/><Relationship Id="rId11" Type="http://schemas.openxmlformats.org/officeDocument/2006/relationships/fontTable" Target="fontTable.xml"/><Relationship Id="rId5" Type="http://schemas.openxmlformats.org/officeDocument/2006/relationships/hyperlink" Target="http://www.senate.gov/pagelayout/committees/d_three_sections_with_teasers/committees_home.htm" TargetMode="External"/><Relationship Id="rId10" Type="http://schemas.openxmlformats.org/officeDocument/2006/relationships/hyperlink" Target="http://www.guisd.org" TargetMode="External"/><Relationship Id="rId4" Type="http://schemas.openxmlformats.org/officeDocument/2006/relationships/webSettings" Target="webSettings.xml"/><Relationship Id="rId9" Type="http://schemas.openxmlformats.org/officeDocument/2006/relationships/hyperlink" Target="http://go.worldbank.org/888TBTGH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cp:lastPrinted>2013-01-02T15:44:00Z</cp:lastPrinted>
  <dcterms:created xsi:type="dcterms:W3CDTF">2013-02-26T23:54:00Z</dcterms:created>
  <dcterms:modified xsi:type="dcterms:W3CDTF">2013-02-26T23:58:00Z</dcterms:modified>
</cp:coreProperties>
</file>